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2F2F2" w:themeColor="background1" w:themeShade="F2"/>
  <w:body>
    <w:p>
      <w:pPr>
        <w:spacing w:line="360" w:lineRule="auto"/>
        <w:jc w:val="center"/>
        <w:rPr>
          <w:rFonts w:hint="eastAsia" w:ascii="仿宋" w:hAnsi="仿宋" w:eastAsia="仿宋" w:cs="仿宋"/>
          <w:sz w:val="18"/>
          <w:szCs w:val="18"/>
          <w:lang w:eastAsia="zh-CN"/>
        </w:rPr>
      </w:pPr>
      <w:r>
        <w:rPr>
          <w:rFonts w:hint="eastAsia" w:ascii="仿宋" w:hAnsi="仿宋" w:eastAsia="仿宋" w:cs="仿宋"/>
          <w:sz w:val="18"/>
          <w:szCs w:val="18"/>
          <w:lang w:eastAsia="zh-CN"/>
        </w:rPr>
        <w:t>产品使用说明书</w:t>
      </w:r>
    </w:p>
    <w:p>
      <w:pPr>
        <w:spacing w:line="360" w:lineRule="auto"/>
        <w:jc w:val="center"/>
        <w:rPr>
          <w:rFonts w:hint="eastAsia"/>
          <w:b/>
          <w:bCs/>
          <w:sz w:val="72"/>
          <w:szCs w:val="72"/>
        </w:rPr>
      </w:pPr>
      <w:r>
        <w:rPr>
          <w:rFonts w:hint="eastAsia"/>
          <w:b/>
          <w:bCs/>
          <w:sz w:val="72"/>
          <w:szCs w:val="72"/>
          <w:lang w:val="en-US" w:eastAsia="zh-CN"/>
        </w:rPr>
        <w:t>ATL</w:t>
      </w:r>
      <w:r>
        <w:rPr>
          <w:rFonts w:hint="eastAsia"/>
          <w:b/>
          <w:bCs/>
          <w:sz w:val="72"/>
          <w:szCs w:val="72"/>
        </w:rPr>
        <w:t>数显张力计</w:t>
      </w:r>
    </w:p>
    <w:p>
      <w:pPr>
        <w:jc w:val="center"/>
        <w:rPr>
          <w:rFonts w:hint="eastAsia" w:asciiTheme="minorEastAsia" w:hAnsiTheme="minorEastAsia"/>
          <w:b/>
          <w:sz w:val="72"/>
          <w:szCs w:val="72"/>
        </w:rPr>
      </w:pPr>
    </w:p>
    <w:p>
      <w:pPr>
        <w:tabs>
          <w:tab w:val="center" w:pos="4933"/>
          <w:tab w:val="left" w:pos="8743"/>
        </w:tabs>
        <w:jc w:val="left"/>
        <w:rPr>
          <w:rFonts w:hint="eastAsia" w:asciiTheme="minorEastAsia" w:hAnsiTheme="minorEastAsia"/>
          <w:b/>
          <w:sz w:val="72"/>
          <w:szCs w:val="72"/>
        </w:rPr>
      </w:pPr>
      <w:r>
        <w:rPr>
          <w:rFonts w:hint="eastAsia" w:asciiTheme="minorEastAsia" w:hAnsiTheme="minorEastAsia"/>
          <w:b/>
          <w:sz w:val="72"/>
          <w:szCs w:val="72"/>
          <w:lang w:eastAsia="zh-CN"/>
        </w:rPr>
        <w:tab/>
      </w:r>
      <w:r>
        <w:rPr>
          <w:rFonts w:hint="eastAsia" w:asciiTheme="minorEastAsia" w:hAnsiTheme="minorEastAsia"/>
          <w:b/>
          <w:sz w:val="72"/>
          <w:szCs w:val="72"/>
        </w:rPr>
        <w:t>使</w:t>
      </w:r>
      <w:r>
        <w:rPr>
          <w:rFonts w:hint="eastAsia" w:asciiTheme="minorEastAsia" w:hAnsiTheme="minorEastAsia"/>
          <w:b/>
          <w:sz w:val="72"/>
          <w:szCs w:val="72"/>
          <w:lang w:eastAsia="zh-CN"/>
        </w:rPr>
        <w:tab/>
      </w:r>
    </w:p>
    <w:p>
      <w:pPr>
        <w:jc w:val="center"/>
        <w:rPr>
          <w:rFonts w:hint="eastAsia" w:asciiTheme="minorEastAsia" w:hAnsiTheme="minorEastAsia"/>
          <w:b/>
          <w:sz w:val="72"/>
          <w:szCs w:val="72"/>
        </w:rPr>
      </w:pPr>
    </w:p>
    <w:p>
      <w:pPr>
        <w:jc w:val="center"/>
        <w:rPr>
          <w:rFonts w:hint="eastAsia" w:asciiTheme="minorEastAsia" w:hAnsiTheme="minorEastAsia"/>
          <w:b/>
          <w:sz w:val="72"/>
          <w:szCs w:val="72"/>
        </w:rPr>
      </w:pPr>
      <w:r>
        <w:rPr>
          <w:rFonts w:hint="eastAsia" w:asciiTheme="minorEastAsia" w:hAnsiTheme="minorEastAsia"/>
          <w:b/>
          <w:sz w:val="72"/>
          <w:szCs w:val="72"/>
        </w:rPr>
        <w:t>用</w:t>
      </w:r>
    </w:p>
    <w:p>
      <w:pPr>
        <w:jc w:val="center"/>
        <w:rPr>
          <w:rFonts w:hint="eastAsia" w:asciiTheme="minorEastAsia" w:hAnsiTheme="minorEastAsia"/>
          <w:b/>
          <w:sz w:val="72"/>
          <w:szCs w:val="72"/>
        </w:rPr>
      </w:pPr>
    </w:p>
    <w:p>
      <w:pPr>
        <w:jc w:val="center"/>
        <w:rPr>
          <w:rFonts w:hint="eastAsia" w:asciiTheme="minorEastAsia" w:hAnsiTheme="minorEastAsia"/>
          <w:b/>
          <w:sz w:val="72"/>
          <w:szCs w:val="72"/>
        </w:rPr>
      </w:pPr>
      <w:r>
        <w:rPr>
          <w:rFonts w:hint="eastAsia" w:asciiTheme="minorEastAsia" w:hAnsiTheme="minorEastAsia"/>
          <w:b/>
          <w:sz w:val="72"/>
          <w:szCs w:val="72"/>
        </w:rPr>
        <w:t>说</w:t>
      </w:r>
    </w:p>
    <w:p>
      <w:pPr>
        <w:jc w:val="center"/>
        <w:rPr>
          <w:rFonts w:hint="eastAsia" w:asciiTheme="minorEastAsia" w:hAnsiTheme="minorEastAsia"/>
          <w:b/>
          <w:sz w:val="72"/>
          <w:szCs w:val="72"/>
        </w:rPr>
      </w:pPr>
    </w:p>
    <w:p>
      <w:pPr>
        <w:jc w:val="center"/>
        <w:rPr>
          <w:rFonts w:hint="eastAsia" w:asciiTheme="minorEastAsia" w:hAnsiTheme="minorEastAsia"/>
          <w:b/>
          <w:sz w:val="72"/>
          <w:szCs w:val="72"/>
        </w:rPr>
      </w:pPr>
      <w:r>
        <w:rPr>
          <w:rFonts w:hint="eastAsia" w:asciiTheme="minorEastAsia" w:hAnsiTheme="minorEastAsia"/>
          <w:b/>
          <w:sz w:val="72"/>
          <w:szCs w:val="72"/>
        </w:rPr>
        <w:t>明</w:t>
      </w:r>
    </w:p>
    <w:p>
      <w:pPr>
        <w:jc w:val="center"/>
        <w:rPr>
          <w:rFonts w:hint="eastAsia" w:asciiTheme="minorEastAsia" w:hAnsiTheme="minorEastAsia"/>
          <w:b/>
          <w:sz w:val="72"/>
          <w:szCs w:val="72"/>
        </w:rPr>
      </w:pPr>
    </w:p>
    <w:p>
      <w:pPr>
        <w:jc w:val="center"/>
        <w:rPr>
          <w:rFonts w:asciiTheme="minorEastAsia" w:hAnsiTheme="minorEastAsia"/>
          <w:b/>
          <w:sz w:val="72"/>
          <w:szCs w:val="72"/>
        </w:rPr>
      </w:pPr>
      <w:r>
        <w:rPr>
          <w:rFonts w:hint="eastAsia" w:asciiTheme="minorEastAsia" w:hAnsiTheme="minorEastAsia"/>
          <w:b/>
          <w:sz w:val="72"/>
          <w:szCs w:val="72"/>
        </w:rPr>
        <w:t>书</w:t>
      </w:r>
    </w:p>
    <w:p>
      <w:pPr>
        <w:spacing w:line="360" w:lineRule="auto"/>
        <w:jc w:val="center"/>
        <w:rPr>
          <w:rFonts w:hint="eastAsia"/>
          <w:b/>
          <w:bCs/>
          <w:sz w:val="72"/>
          <w:szCs w:val="72"/>
        </w:rPr>
      </w:pPr>
    </w:p>
    <w:p>
      <w:pPr>
        <w:spacing w:line="360" w:lineRule="auto"/>
        <w:jc w:val="center"/>
        <w:rPr>
          <w:rFonts w:hint="eastAsia"/>
          <w:sz w:val="72"/>
          <w:szCs w:val="72"/>
        </w:rPr>
      </w:pPr>
    </w:p>
    <w:p>
      <w:pPr>
        <w:spacing w:line="480" w:lineRule="auto"/>
        <w:rPr>
          <w:rFonts w:hint="eastAsia"/>
          <w:sz w:val="24"/>
          <w:szCs w:val="24"/>
        </w:rPr>
      </w:pPr>
    </w:p>
    <w:p>
      <w:pPr>
        <w:spacing w:line="480" w:lineRule="auto"/>
        <w:rPr>
          <w:rFonts w:hint="eastAsia"/>
          <w:b/>
          <w:bCs/>
          <w:sz w:val="24"/>
          <w:szCs w:val="24"/>
        </w:rPr>
      </w:pPr>
    </w:p>
    <w:p>
      <w:pPr>
        <w:spacing w:line="360" w:lineRule="auto"/>
        <w:jc w:val="center"/>
        <w:rPr>
          <w:rFonts w:hint="eastAsia" w:ascii="仿宋" w:hAnsi="仿宋" w:eastAsia="仿宋" w:cs="仿宋"/>
          <w:sz w:val="18"/>
          <w:szCs w:val="18"/>
          <w:lang w:eastAsia="zh-CN"/>
        </w:rPr>
      </w:pPr>
      <w:r>
        <w:rPr>
          <w:rFonts w:hint="eastAsia" w:ascii="仿宋" w:hAnsi="仿宋" w:eastAsia="仿宋" w:cs="仿宋"/>
          <w:sz w:val="18"/>
          <w:szCs w:val="18"/>
          <w:lang w:eastAsia="zh-CN"/>
        </w:rPr>
        <w:t>产品使用说明书</w:t>
      </w:r>
    </w:p>
    <w:p>
      <w:pPr>
        <w:spacing w:line="480" w:lineRule="auto"/>
        <w:rPr>
          <w:rFonts w:hint="eastAsia"/>
          <w:b/>
          <w:bCs/>
          <w:sz w:val="24"/>
          <w:szCs w:val="24"/>
        </w:rPr>
      </w:pPr>
    </w:p>
    <w:p>
      <w:pPr>
        <w:spacing w:line="480" w:lineRule="auto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一、概述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1.1主要用途及适用范围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数显张力计是一款通用型便携式低功耗张力测试仪器，具有体积小、重量轻、容易携带、使用范围广、高精度等特点，适用于继电器接点压力、电子开关、微型自动电话设备接点和衔铁压力等机械压力、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1.2产品特点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1.2.1 便携式：仪器重量轻、体积小、携带方便，测量时单手便可完成所有操作。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1.2.2 数显显示力值，仪器采用LCD显示测量力值，读数更加方便。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1.2.3 多种单位切换：仪器可切换N、Kg、Lb、Oz、g 5种单位。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1.2.4可以设置无操作自动关机，低电量时自动关机。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ab/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1.2.5 超低待机功耗，超长使用时间。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spacing w:line="360" w:lineRule="auto"/>
        <w:jc w:val="center"/>
        <w:rPr>
          <w:rFonts w:hint="eastAsia" w:ascii="仿宋" w:hAnsi="仿宋" w:eastAsia="仿宋" w:cs="仿宋"/>
          <w:sz w:val="18"/>
          <w:szCs w:val="18"/>
          <w:lang w:eastAsia="zh-CN"/>
        </w:rPr>
      </w:pPr>
      <w:r>
        <w:rPr>
          <w:rFonts w:hint="eastAsia" w:ascii="仿宋" w:hAnsi="仿宋" w:eastAsia="仿宋" w:cs="仿宋"/>
          <w:sz w:val="18"/>
          <w:szCs w:val="18"/>
          <w:lang w:eastAsia="zh-CN"/>
        </w:rPr>
        <w:t>产品使用说明书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1.3 产品规格</w:t>
      </w:r>
    </w:p>
    <w:tbl>
      <w:tblPr>
        <w:tblStyle w:val="8"/>
        <w:tblW w:w="9962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3"/>
        <w:gridCol w:w="1423"/>
        <w:gridCol w:w="1423"/>
        <w:gridCol w:w="1423"/>
        <w:gridCol w:w="1423"/>
        <w:gridCol w:w="1423"/>
        <w:gridCol w:w="142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1423" w:type="dxa"/>
          </w:tcPr>
          <w:p>
            <w:p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  <w:t>型号规格</w:t>
            </w:r>
          </w:p>
        </w:tc>
        <w:tc>
          <w:tcPr>
            <w:tcW w:w="1423" w:type="dxa"/>
          </w:tcPr>
          <w:p>
            <w:p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1</w:t>
            </w:r>
          </w:p>
        </w:tc>
        <w:tc>
          <w:tcPr>
            <w:tcW w:w="1423" w:type="dxa"/>
          </w:tcPr>
          <w:p>
            <w:p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2</w:t>
            </w:r>
          </w:p>
        </w:tc>
        <w:tc>
          <w:tcPr>
            <w:tcW w:w="1423" w:type="dxa"/>
          </w:tcPr>
          <w:p>
            <w:p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3</w:t>
            </w:r>
          </w:p>
        </w:tc>
        <w:tc>
          <w:tcPr>
            <w:tcW w:w="1423" w:type="dxa"/>
          </w:tcPr>
          <w:p>
            <w:p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5</w:t>
            </w:r>
          </w:p>
        </w:tc>
        <w:tc>
          <w:tcPr>
            <w:tcW w:w="1423" w:type="dxa"/>
          </w:tcPr>
          <w:p>
            <w:p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10</w:t>
            </w:r>
          </w:p>
        </w:tc>
        <w:tc>
          <w:tcPr>
            <w:tcW w:w="1424" w:type="dxa"/>
          </w:tcPr>
          <w:p>
            <w:p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20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3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  <w:t>最大负荷值</w:t>
            </w:r>
          </w:p>
        </w:tc>
        <w:tc>
          <w:tcPr>
            <w:tcW w:w="1423" w:type="dxa"/>
          </w:tcPr>
          <w:p>
            <w:p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1N</w:t>
            </w:r>
          </w:p>
        </w:tc>
        <w:tc>
          <w:tcPr>
            <w:tcW w:w="1423" w:type="dxa"/>
          </w:tcPr>
          <w:p>
            <w:p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2N</w:t>
            </w:r>
          </w:p>
        </w:tc>
        <w:tc>
          <w:tcPr>
            <w:tcW w:w="1423" w:type="dxa"/>
          </w:tcPr>
          <w:p>
            <w:p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3N</w:t>
            </w:r>
          </w:p>
        </w:tc>
        <w:tc>
          <w:tcPr>
            <w:tcW w:w="1423" w:type="dxa"/>
          </w:tcPr>
          <w:p>
            <w:p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5N</w:t>
            </w:r>
          </w:p>
        </w:tc>
        <w:tc>
          <w:tcPr>
            <w:tcW w:w="1423" w:type="dxa"/>
          </w:tcPr>
          <w:p>
            <w:p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10N</w:t>
            </w:r>
          </w:p>
        </w:tc>
        <w:tc>
          <w:tcPr>
            <w:tcW w:w="1424" w:type="dxa"/>
          </w:tcPr>
          <w:p>
            <w:p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20N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3" w:type="dxa"/>
            <w:vMerge w:val="continue"/>
          </w:tcPr>
          <w:p>
            <w:pPr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423" w:type="dxa"/>
          </w:tcPr>
          <w:p>
            <w:p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0.1Kg</w:t>
            </w:r>
          </w:p>
        </w:tc>
        <w:tc>
          <w:tcPr>
            <w:tcW w:w="1423" w:type="dxa"/>
          </w:tcPr>
          <w:p>
            <w:p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0.2Kg</w:t>
            </w:r>
          </w:p>
        </w:tc>
        <w:tc>
          <w:tcPr>
            <w:tcW w:w="1423" w:type="dxa"/>
          </w:tcPr>
          <w:p>
            <w:p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0.3Kg</w:t>
            </w:r>
          </w:p>
        </w:tc>
        <w:tc>
          <w:tcPr>
            <w:tcW w:w="1423" w:type="dxa"/>
          </w:tcPr>
          <w:p>
            <w:p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0.5Kg</w:t>
            </w:r>
          </w:p>
        </w:tc>
        <w:tc>
          <w:tcPr>
            <w:tcW w:w="1423" w:type="dxa"/>
          </w:tcPr>
          <w:p>
            <w:p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1Kg</w:t>
            </w:r>
          </w:p>
        </w:tc>
        <w:tc>
          <w:tcPr>
            <w:tcW w:w="1424" w:type="dxa"/>
          </w:tcPr>
          <w:p>
            <w:p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2Kg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3" w:type="dxa"/>
            <w:vMerge w:val="continue"/>
          </w:tcPr>
          <w:p>
            <w:pPr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423" w:type="dxa"/>
          </w:tcPr>
          <w:p>
            <w:p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0.21Lb</w:t>
            </w:r>
          </w:p>
        </w:tc>
        <w:tc>
          <w:tcPr>
            <w:tcW w:w="1423" w:type="dxa"/>
          </w:tcPr>
          <w:p>
            <w:p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0.41Lb</w:t>
            </w:r>
          </w:p>
        </w:tc>
        <w:tc>
          <w:tcPr>
            <w:tcW w:w="1423" w:type="dxa"/>
          </w:tcPr>
          <w:p>
            <w:p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0.62Lb</w:t>
            </w:r>
          </w:p>
        </w:tc>
        <w:tc>
          <w:tcPr>
            <w:tcW w:w="1423" w:type="dxa"/>
          </w:tcPr>
          <w:p>
            <w:p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1.03Lb</w:t>
            </w:r>
          </w:p>
        </w:tc>
        <w:tc>
          <w:tcPr>
            <w:tcW w:w="1423" w:type="dxa"/>
          </w:tcPr>
          <w:p>
            <w:p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2.07Lb</w:t>
            </w:r>
          </w:p>
        </w:tc>
        <w:tc>
          <w:tcPr>
            <w:tcW w:w="1424" w:type="dxa"/>
          </w:tcPr>
          <w:p>
            <w:p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4.14Lb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3" w:type="dxa"/>
            <w:vMerge w:val="continue"/>
          </w:tcPr>
          <w:p>
            <w:pPr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423" w:type="dxa"/>
          </w:tcPr>
          <w:p>
            <w:p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3.6Oz</w:t>
            </w:r>
          </w:p>
        </w:tc>
        <w:tc>
          <w:tcPr>
            <w:tcW w:w="1423" w:type="dxa"/>
          </w:tcPr>
          <w:p>
            <w:p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7.2Oz</w:t>
            </w:r>
          </w:p>
        </w:tc>
        <w:tc>
          <w:tcPr>
            <w:tcW w:w="1423" w:type="dxa"/>
          </w:tcPr>
          <w:p>
            <w:p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10.8Oz</w:t>
            </w:r>
          </w:p>
        </w:tc>
        <w:tc>
          <w:tcPr>
            <w:tcW w:w="1423" w:type="dxa"/>
          </w:tcPr>
          <w:p>
            <w:p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18Oz</w:t>
            </w:r>
          </w:p>
        </w:tc>
        <w:tc>
          <w:tcPr>
            <w:tcW w:w="1423" w:type="dxa"/>
          </w:tcPr>
          <w:p>
            <w:p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36Oz</w:t>
            </w:r>
          </w:p>
        </w:tc>
        <w:tc>
          <w:tcPr>
            <w:tcW w:w="1424" w:type="dxa"/>
          </w:tcPr>
          <w:p>
            <w:p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72Oz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3" w:type="dxa"/>
            <w:vMerge w:val="continue"/>
          </w:tcPr>
          <w:p>
            <w:pPr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1423" w:type="dxa"/>
          </w:tcPr>
          <w:p>
            <w:p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100g</w:t>
            </w:r>
          </w:p>
        </w:tc>
        <w:tc>
          <w:tcPr>
            <w:tcW w:w="1423" w:type="dxa"/>
          </w:tcPr>
          <w:p>
            <w:p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200g</w:t>
            </w:r>
          </w:p>
        </w:tc>
        <w:tc>
          <w:tcPr>
            <w:tcW w:w="1423" w:type="dxa"/>
          </w:tcPr>
          <w:p>
            <w:p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300g</w:t>
            </w:r>
          </w:p>
        </w:tc>
        <w:tc>
          <w:tcPr>
            <w:tcW w:w="1423" w:type="dxa"/>
          </w:tcPr>
          <w:p>
            <w:p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500g</w:t>
            </w:r>
          </w:p>
        </w:tc>
        <w:tc>
          <w:tcPr>
            <w:tcW w:w="1423" w:type="dxa"/>
          </w:tcPr>
          <w:p>
            <w:p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1000g</w:t>
            </w:r>
          </w:p>
        </w:tc>
        <w:tc>
          <w:tcPr>
            <w:tcW w:w="1424" w:type="dxa"/>
          </w:tcPr>
          <w:p>
            <w:p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2000g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3" w:type="dxa"/>
            <w:vMerge w:val="restart"/>
            <w:vAlign w:val="center"/>
          </w:tcPr>
          <w:p>
            <w:p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b/>
                <w:sz w:val="21"/>
                <w:szCs w:val="21"/>
              </w:rPr>
              <w:t>负荷分度值</w:t>
            </w:r>
          </w:p>
        </w:tc>
        <w:tc>
          <w:tcPr>
            <w:tcW w:w="5692" w:type="dxa"/>
            <w:gridSpan w:val="4"/>
          </w:tcPr>
          <w:p>
            <w:p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0.001N</w:t>
            </w:r>
          </w:p>
        </w:tc>
        <w:tc>
          <w:tcPr>
            <w:tcW w:w="2847" w:type="dxa"/>
            <w:gridSpan w:val="2"/>
          </w:tcPr>
          <w:p>
            <w:p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0.01N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3" w:type="dxa"/>
            <w:vMerge w:val="continue"/>
          </w:tcPr>
          <w:p>
            <w:pPr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5692" w:type="dxa"/>
            <w:gridSpan w:val="4"/>
          </w:tcPr>
          <w:p>
            <w:p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0.0001kg</w:t>
            </w:r>
          </w:p>
        </w:tc>
        <w:tc>
          <w:tcPr>
            <w:tcW w:w="2847" w:type="dxa"/>
            <w:gridSpan w:val="2"/>
          </w:tcPr>
          <w:p>
            <w:p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0.001kg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3" w:type="dxa"/>
            <w:vMerge w:val="continue"/>
          </w:tcPr>
          <w:p>
            <w:pPr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5692" w:type="dxa"/>
            <w:gridSpan w:val="4"/>
          </w:tcPr>
          <w:p>
            <w:p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0.0001Lb</w:t>
            </w:r>
          </w:p>
        </w:tc>
        <w:tc>
          <w:tcPr>
            <w:tcW w:w="2847" w:type="dxa"/>
            <w:gridSpan w:val="2"/>
          </w:tcPr>
          <w:p>
            <w:p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0.001Lb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3" w:type="dxa"/>
            <w:vMerge w:val="continue"/>
          </w:tcPr>
          <w:p>
            <w:pPr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5692" w:type="dxa"/>
            <w:gridSpan w:val="4"/>
          </w:tcPr>
          <w:p>
            <w:p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0.001Oz</w:t>
            </w:r>
          </w:p>
        </w:tc>
        <w:tc>
          <w:tcPr>
            <w:tcW w:w="2847" w:type="dxa"/>
            <w:gridSpan w:val="2"/>
          </w:tcPr>
          <w:p>
            <w:p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0.01Oz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423" w:type="dxa"/>
            <w:vMerge w:val="continue"/>
          </w:tcPr>
          <w:p>
            <w:pPr>
              <w:spacing w:line="360" w:lineRule="auto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</w:p>
        </w:tc>
        <w:tc>
          <w:tcPr>
            <w:tcW w:w="5692" w:type="dxa"/>
            <w:gridSpan w:val="4"/>
          </w:tcPr>
          <w:p>
            <w:p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0. 1g</w:t>
            </w:r>
          </w:p>
        </w:tc>
        <w:tc>
          <w:tcPr>
            <w:tcW w:w="2847" w:type="dxa"/>
            <w:gridSpan w:val="2"/>
          </w:tcPr>
          <w:p>
            <w:pPr>
              <w:spacing w:line="360" w:lineRule="auto"/>
              <w:jc w:val="center"/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1"/>
                <w:szCs w:val="21"/>
              </w:rPr>
              <w:t>1kg</w:t>
            </w:r>
          </w:p>
        </w:tc>
      </w:tr>
    </w:tbl>
    <w:p>
      <w:pPr>
        <w:spacing w:line="360" w:lineRule="auto"/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1.4产品技术参数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1.4.1 精度：±0.5%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1.4.2 电源：AAA电池*4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1.4.3 工作电流约30mA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1.5型号的组成及其意义</w:t>
      </w:r>
    </w:p>
    <w:p>
      <w:pPr>
        <w:spacing w:line="360" w:lineRule="auto"/>
        <w:jc w:val="center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0" distR="0">
            <wp:extent cx="3422650" cy="800100"/>
            <wp:effectExtent l="19050" t="0" r="6350" b="0"/>
            <wp:docPr id="11" name="图片 10" descr="中性型号说明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0" descr="中性型号说明.jpg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25644" cy="800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b/>
          <w:bCs/>
          <w:sz w:val="24"/>
          <w:szCs w:val="24"/>
        </w:rPr>
      </w:pPr>
    </w:p>
    <w:p>
      <w:pPr>
        <w:spacing w:line="360" w:lineRule="auto"/>
        <w:rPr>
          <w:rFonts w:hint="eastAsia"/>
          <w:b/>
          <w:bCs/>
          <w:sz w:val="24"/>
          <w:szCs w:val="24"/>
        </w:rPr>
      </w:pPr>
    </w:p>
    <w:p>
      <w:pPr>
        <w:spacing w:line="360" w:lineRule="auto"/>
        <w:rPr>
          <w:rFonts w:hint="eastAsia"/>
          <w:b/>
          <w:bCs/>
          <w:sz w:val="24"/>
          <w:szCs w:val="24"/>
        </w:rPr>
      </w:pPr>
    </w:p>
    <w:p>
      <w:pPr>
        <w:spacing w:line="360" w:lineRule="auto"/>
        <w:rPr>
          <w:rFonts w:hint="eastAsia"/>
          <w:b/>
          <w:bCs/>
          <w:sz w:val="24"/>
          <w:szCs w:val="24"/>
        </w:rPr>
      </w:pPr>
    </w:p>
    <w:p>
      <w:pPr>
        <w:spacing w:line="360" w:lineRule="auto"/>
        <w:rPr>
          <w:rFonts w:hint="eastAsia"/>
          <w:b/>
          <w:bCs/>
          <w:sz w:val="24"/>
          <w:szCs w:val="24"/>
        </w:rPr>
      </w:pPr>
    </w:p>
    <w:p>
      <w:pPr>
        <w:spacing w:line="360" w:lineRule="auto"/>
        <w:rPr>
          <w:rFonts w:hint="eastAsia"/>
          <w:b/>
          <w:bCs/>
          <w:sz w:val="24"/>
          <w:szCs w:val="24"/>
        </w:rPr>
      </w:pPr>
    </w:p>
    <w:p>
      <w:pPr>
        <w:spacing w:line="360" w:lineRule="auto"/>
        <w:jc w:val="center"/>
        <w:rPr>
          <w:rFonts w:hint="eastAsia" w:ascii="仿宋" w:hAnsi="仿宋" w:eastAsia="仿宋" w:cs="仿宋"/>
          <w:sz w:val="18"/>
          <w:szCs w:val="18"/>
          <w:lang w:eastAsia="zh-CN"/>
        </w:rPr>
      </w:pPr>
      <w:r>
        <w:rPr>
          <w:rFonts w:hint="eastAsia" w:ascii="仿宋" w:hAnsi="仿宋" w:eastAsia="仿宋" w:cs="仿宋"/>
          <w:sz w:val="18"/>
          <w:szCs w:val="18"/>
          <w:lang w:eastAsia="zh-CN"/>
        </w:rPr>
        <w:t>产品使用说明书</w:t>
      </w:r>
    </w:p>
    <w:p>
      <w:pPr>
        <w:spacing w:line="360" w:lineRule="auto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二、产品整体结构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2.1 外形结构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0" distR="0">
            <wp:extent cx="2990850" cy="2745105"/>
            <wp:effectExtent l="19050" t="0" r="0" b="0"/>
            <wp:docPr id="13" name="图片 12" descr="中性数显张力计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 descr="中性数显张力计.jpg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5889" cy="2749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 xml:space="preserve">   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0" distR="0">
            <wp:extent cx="2876550" cy="2782570"/>
            <wp:effectExtent l="19050" t="0" r="0" b="0"/>
            <wp:docPr id="14" name="图片 13" descr="ATL-1-Y中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3" descr="ATL-1-Y中性.jpg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9451" cy="2785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0" distR="0">
            <wp:extent cx="2889250" cy="2771775"/>
            <wp:effectExtent l="19050" t="0" r="6045" b="0"/>
            <wp:docPr id="15" name="图片 14" descr="ATL-1-J中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 descr="ATL-1-J中性.jpg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0259" cy="277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spacing w:line="360" w:lineRule="auto"/>
        <w:jc w:val="center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="仿宋" w:hAnsi="仿宋" w:eastAsia="仿宋" w:cs="仿宋"/>
          <w:sz w:val="18"/>
          <w:szCs w:val="18"/>
          <w:lang w:eastAsia="zh-CN"/>
        </w:rPr>
        <w:t>产品使用说明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2.1.1、开关机键：按此键时，电源打开或关闭。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2.1.2、设置键：用户在测量界面可以通过此键进入设置菜单。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2.1.3、单位/向下键：在测量界面按此键可切换单位，进入设置界面后具有下移功能。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2.1.4、置零键：在测量界面时，按此键屏幕上的测试值会被归零。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2.1.5、峰值/向上键：在测量界面按此键可切换峰值状态，进入设置界面后具有上移功能。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2.1.6、清零键：与按键上的置零键功能相同，方便用户在操作时的使用。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2.1.7、测力杆：测量力值。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2.1.1、开关机键：按此键时，电源打开或关闭。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2.1.2、设置键：用户在测量界面可以通过此键进入设置菜单。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2.1.3、单位/向下键：在测量界面按此键可切换单位，进入设置界面后具有下移功能。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2.1.4、置零键：在测量界面时，按此键屏幕上的测试值会被归零。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2.1.5、峰值/向上键：在测量界面按此键可切换峰值状态，进入设置界面后具有上移功能。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2.1.6、清零键：与按键上的置零键功能相同，方便用户在操作时的使用。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2.1.7、测力杆：测量力值</w:t>
      </w:r>
      <w:r>
        <w:rPr>
          <w:rFonts w:hint="eastAsia" w:asciiTheme="minorEastAsia" w:hAnsiTheme="minorEastAsia" w:cstheme="minorEastAsia"/>
          <w:sz w:val="21"/>
          <w:szCs w:val="21"/>
          <w:lang w:eastAsia="zh-CN"/>
        </w:rPr>
        <w:t>。</w:t>
      </w:r>
    </w:p>
    <w:p>
      <w:pPr>
        <w:spacing w:line="360" w:lineRule="auto"/>
        <w:rPr>
          <w:rFonts w:hint="eastAsia"/>
          <w:sz w:val="24"/>
          <w:szCs w:val="24"/>
        </w:rPr>
      </w:pPr>
    </w:p>
    <w:p>
      <w:pPr>
        <w:spacing w:line="360" w:lineRule="auto"/>
        <w:rPr>
          <w:rFonts w:hint="eastAsia"/>
          <w:b/>
          <w:bCs/>
          <w:sz w:val="24"/>
          <w:szCs w:val="24"/>
        </w:rPr>
      </w:pPr>
    </w:p>
    <w:p>
      <w:pPr>
        <w:spacing w:line="360" w:lineRule="auto"/>
        <w:rPr>
          <w:rFonts w:hint="eastAsia"/>
          <w:b/>
          <w:bCs/>
          <w:sz w:val="24"/>
          <w:szCs w:val="24"/>
        </w:rPr>
      </w:pPr>
    </w:p>
    <w:p>
      <w:pPr>
        <w:spacing w:line="360" w:lineRule="auto"/>
        <w:rPr>
          <w:rFonts w:hint="eastAsia"/>
          <w:b/>
          <w:bCs/>
          <w:sz w:val="24"/>
          <w:szCs w:val="24"/>
        </w:rPr>
      </w:pPr>
    </w:p>
    <w:p>
      <w:pPr>
        <w:spacing w:line="360" w:lineRule="auto"/>
        <w:rPr>
          <w:rFonts w:hint="eastAsia"/>
          <w:b/>
          <w:bCs/>
          <w:sz w:val="24"/>
          <w:szCs w:val="24"/>
        </w:rPr>
      </w:pPr>
    </w:p>
    <w:p>
      <w:pPr>
        <w:spacing w:line="360" w:lineRule="auto"/>
        <w:rPr>
          <w:rFonts w:hint="eastAsia"/>
          <w:b/>
          <w:bCs/>
          <w:sz w:val="24"/>
          <w:szCs w:val="24"/>
        </w:rPr>
      </w:pPr>
    </w:p>
    <w:p>
      <w:pPr>
        <w:spacing w:line="360" w:lineRule="auto"/>
        <w:rPr>
          <w:rFonts w:hint="eastAsia"/>
          <w:b/>
          <w:bCs/>
          <w:sz w:val="24"/>
          <w:szCs w:val="24"/>
        </w:rPr>
      </w:pPr>
    </w:p>
    <w:p>
      <w:pPr>
        <w:spacing w:line="360" w:lineRule="auto"/>
        <w:rPr>
          <w:rFonts w:hint="eastAsia"/>
          <w:b/>
          <w:bCs/>
          <w:sz w:val="24"/>
          <w:szCs w:val="24"/>
        </w:rPr>
      </w:pPr>
    </w:p>
    <w:p>
      <w:pPr>
        <w:spacing w:line="360" w:lineRule="auto"/>
        <w:rPr>
          <w:rFonts w:hint="eastAsia"/>
          <w:b/>
          <w:bCs/>
          <w:sz w:val="24"/>
          <w:szCs w:val="24"/>
        </w:rPr>
      </w:pPr>
    </w:p>
    <w:p>
      <w:pPr>
        <w:spacing w:line="360" w:lineRule="auto"/>
        <w:rPr>
          <w:rFonts w:hint="eastAsia"/>
          <w:b/>
          <w:bCs/>
          <w:sz w:val="24"/>
          <w:szCs w:val="24"/>
        </w:rPr>
      </w:pPr>
    </w:p>
    <w:p>
      <w:pPr>
        <w:spacing w:line="360" w:lineRule="auto"/>
        <w:rPr>
          <w:rFonts w:hint="eastAsia"/>
          <w:b/>
          <w:bCs/>
          <w:sz w:val="24"/>
          <w:szCs w:val="24"/>
        </w:rPr>
      </w:pPr>
    </w:p>
    <w:p>
      <w:pPr>
        <w:spacing w:line="360" w:lineRule="auto"/>
        <w:rPr>
          <w:rFonts w:hint="eastAsia"/>
          <w:b/>
          <w:bCs/>
          <w:sz w:val="24"/>
          <w:szCs w:val="24"/>
        </w:rPr>
      </w:pPr>
    </w:p>
    <w:p>
      <w:pPr>
        <w:spacing w:line="360" w:lineRule="auto"/>
        <w:rPr>
          <w:rFonts w:hint="eastAsia"/>
          <w:b/>
          <w:bCs/>
          <w:sz w:val="24"/>
          <w:szCs w:val="24"/>
        </w:rPr>
      </w:pPr>
    </w:p>
    <w:p>
      <w:pPr>
        <w:spacing w:line="360" w:lineRule="auto"/>
        <w:rPr>
          <w:rFonts w:hint="eastAsia"/>
          <w:b/>
          <w:bCs/>
          <w:sz w:val="24"/>
          <w:szCs w:val="24"/>
        </w:rPr>
      </w:pPr>
    </w:p>
    <w:p>
      <w:pPr>
        <w:spacing w:line="360" w:lineRule="auto"/>
        <w:jc w:val="center"/>
        <w:rPr>
          <w:rFonts w:hint="eastAsia"/>
          <w:b/>
          <w:bCs/>
          <w:sz w:val="24"/>
          <w:szCs w:val="24"/>
        </w:rPr>
      </w:pPr>
      <w:r>
        <w:rPr>
          <w:rFonts w:hint="eastAsia" w:ascii="仿宋" w:hAnsi="仿宋" w:eastAsia="仿宋" w:cs="仿宋"/>
          <w:sz w:val="18"/>
          <w:szCs w:val="18"/>
          <w:lang w:eastAsia="zh-CN"/>
        </w:rPr>
        <w:t>产品使用说明书</w:t>
      </w:r>
    </w:p>
    <w:p>
      <w:pPr>
        <w:spacing w:line="360" w:lineRule="auto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三、使用和操作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3.1 使用前的准备和检查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3.1.1、本仪器无充电功能，使用前应检查测力杆是否固定，传感器响应是否良好。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3.1.2、新机器内置电池隔离片，新机器若无法开机，将电池盖处的电池隔离片取出再重新开机。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3.2 使用中的操作及说明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-30480</wp:posOffset>
            </wp:positionH>
            <wp:positionV relativeFrom="paragraph">
              <wp:posOffset>866140</wp:posOffset>
            </wp:positionV>
            <wp:extent cx="6253480" cy="1823720"/>
            <wp:effectExtent l="0" t="0" r="13970" b="5080"/>
            <wp:wrapNone/>
            <wp:docPr id="5" name="图片 4" descr="HID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HIDT.jpg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3480" cy="1823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pict>
          <v:shape id="_x0000_s1027" o:spid="_x0000_s1027" o:spt="5" type="#_x0000_t5" style="position:absolute;left:0pt;margin-left:32.7pt;margin-top:57.75pt;height:14.95pt;width:15.05pt;z-index:251661312;mso-width-relative:page;mso-height-relative:page;" coordsize="21600,21600" adj="10836">
            <v:path/>
            <v:fill focussize="0,0"/>
            <v:stroke joinstyle="miter"/>
            <v:imagedata o:title=""/>
            <o:lock v:ext="edit"/>
          </v:shape>
        </w:pic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pict>
          <v:shape id="_x0000_s1026" o:spid="_x0000_s1026" o:spt="5" type="#_x0000_t5" style="position:absolute;left:0pt;flip:y;margin-left:460.55pt;margin-top:34.95pt;height:13.95pt;width:15.05pt;z-index:251660288;mso-width-relative:page;mso-height-relative:page;" coordsize="21600,21600">
            <v:path/>
            <v:fill focussize="0,0"/>
            <v:stroke joinstyle="miter"/>
            <v:imagedata o:title=""/>
            <o:lock v:ext="edit"/>
          </v:shape>
        </w:pic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3.2.1、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object>
          <v:shape id="_x0000_i1025" o:spt="75" type="#_x0000_t75" style="height:13.5pt;width:24pt;" o:ole="t" filled="f" o:preferrelative="t" stroked="f" coordsize="21600,21600">
            <v:path/>
            <v:fill on="f" focussize="0,0"/>
            <v:stroke on="f" joinstyle="miter"/>
            <v:imagedata r:id="rId12" o:title=""/>
            <o:lock v:ext="edit" aspectratio="t"/>
            <w10:wrap type="none"/>
            <w10:anchorlock/>
          </v:shape>
          <o:OLEObject Type="Embed" ProgID="CorelDRAW.Graphic.14" ShapeID="_x0000_i1025" DrawAspect="Content" ObjectID="_1468075725" r:id="rId11">
            <o:LockedField>false</o:LockedField>
          </o:OLEObject>
        </w:objec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（HIDT）上限值设置：测量时若超出上限值，显示屏出现“MAX”字样。开机后，进入测量界面，按“设置”键进入设置界面，再按一次“设置”键进入上限值设置中，按下“  ”键和“  ”键，选择自己所需要的数字，按“设置”键后保存，自动退回到设置界面。如下图所示：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pict>
          <v:shape id="_x0000_s1029" o:spid="_x0000_s1029" o:spt="5" type="#_x0000_t5" style="position:absolute;left:0pt;margin-left:425.4pt;margin-top:8.25pt;height:14.95pt;width:15.05pt;z-index:251664384;mso-width-relative:page;mso-height-relative:page;" coordsize="21600,21600" adj="10836">
            <v:path/>
            <v:fill focussize="0,0"/>
            <v:stroke joinstyle="miter"/>
            <v:imagedata o:title=""/>
            <o:lock v:ext="edit"/>
          </v:shape>
        </w:pic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pict>
          <v:shape id="_x0000_s1028" o:spid="_x0000_s1028" o:spt="5" type="#_x0000_t5" style="position:absolute;left:0pt;flip:y;margin-left:364.05pt;margin-top:9.25pt;height:13.95pt;width:15.05pt;z-index:251663360;mso-width-relative:page;mso-height-relative:page;" coordsize="21600,21600">
            <v:path/>
            <v:fill focussize="0,0"/>
            <v:stroke joinstyle="miter"/>
            <v:imagedata o:title=""/>
            <o:lock v:ext="edit"/>
          </v:shape>
        </w:pic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3.2.2、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object>
          <v:shape id="_x0000_i1026" o:spt="75" type="#_x0000_t75" style="height:17.25pt;width:29.25pt;" o:ole="t" filled="f" o:preferrelative="t" stroked="f" coordsize="21600,21600">
            <v:path/>
            <v:fill on="f" focussize="0,0"/>
            <v:stroke on="f" joinstyle="miter"/>
            <v:imagedata r:id="rId14" o:title=""/>
            <o:lock v:ext="edit" aspectratio="t"/>
            <w10:wrap type="none"/>
            <w10:anchorlock/>
          </v:shape>
          <o:OLEObject Type="Embed" ProgID="CorelDRAW.Graphic.14" ShapeID="_x0000_i1026" DrawAspect="Content" ObjectID="_1468075726" r:id="rId13">
            <o:LockedField>false</o:LockedField>
          </o:OLEObject>
        </w:objec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（LODT）下限值设置：按“SET”键进入下限值设置，按“  ”键和“  ”键进行数字调整，选择所需数值，再按“SET”键保存并进入下一步功能设置，如下图所示：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0" distR="0">
            <wp:extent cx="6188710" cy="1793875"/>
            <wp:effectExtent l="19050" t="0" r="2540" b="0"/>
            <wp:docPr id="2" name="图片 1" descr="LOD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LODT.jpg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179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pict>
          <v:shape id="_x0000_s1030" o:spid="_x0000_s1030" o:spt="5" type="#_x0000_t5" style="position:absolute;left:0pt;flip:y;margin-left:402.2pt;margin-top:34.65pt;height:13.95pt;width:15.05pt;z-index:251666432;mso-width-relative:page;mso-height-relative:page;" coordsize="21600,21600">
            <v:path/>
            <v:fill focussize="0,0"/>
            <v:stroke joinstyle="miter"/>
            <v:imagedata o:title=""/>
            <o:lock v:ext="edit"/>
          </v:shape>
        </w:pic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pict>
          <v:shape id="_x0000_s1031" o:spid="_x0000_s1031" o:spt="5" type="#_x0000_t5" style="position:absolute;left:0pt;margin-left:459.9pt;margin-top:34.65pt;height:14.95pt;width:15.05pt;z-index:251667456;mso-width-relative:page;mso-height-relative:page;" coordsize="21600,21600" adj="10836">
            <v:path/>
            <v:fill focussize="0,0"/>
            <v:stroke joinstyle="miter"/>
            <v:imagedata o:title=""/>
            <o:lock v:ext="edit"/>
          </v:shape>
        </w:pic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3.2.3、</w: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object>
          <v:shape id="_x0000_i1027" o:spt="75" type="#_x0000_t75" style="height:15.75pt;width:29.25pt;" o:ole="t" filled="f" o:preferrelative="t" stroked="f" coordsize="21600,21600">
            <v:path/>
            <v:fill on="f" focussize="0,0"/>
            <v:stroke on="f" joinstyle="miter"/>
            <v:imagedata r:id="rId17" o:title=""/>
            <o:lock v:ext="edit" aspectratio="t"/>
            <w10:wrap type="none"/>
            <w10:anchorlock/>
          </v:shape>
          <o:OLEObject Type="Embed" ProgID="CorelDRAW.Graphic.14" ShapeID="_x0000_i1027" DrawAspect="Content" ObjectID="_1468075727" r:id="rId16">
            <o:LockedField>false</o:LockedField>
          </o:OLEObject>
        </w:object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（OFFT）自动关机时间设置：可设定1分钟到100分钟自动关机，也可设置“0000”不关机。本仪器默认为10分钟。按“设置”键进入自动关机时间设置。按“  ”键和“  ”键进行数字调整，再按“设置”键保存。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406400</wp:posOffset>
            </wp:positionH>
            <wp:positionV relativeFrom="paragraph">
              <wp:posOffset>20320</wp:posOffset>
            </wp:positionV>
            <wp:extent cx="466090" cy="198755"/>
            <wp:effectExtent l="19050" t="0" r="0" b="0"/>
            <wp:wrapNone/>
            <wp:docPr id="7" name="图片 6" descr="RES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 descr="RESET.jpg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5979" cy="1987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 w:val="21"/>
          <w:szCs w:val="21"/>
        </w:rPr>
        <w:t>3.2.4、     （RESET）恢复出厂设置：在此设置项目下，按“设置”键即可恢复出厂设置，仪器关机，若使用仪器重新开机即可。</w:t>
      </w:r>
    </w:p>
    <w:p>
      <w:pPr>
        <w:spacing w:line="360" w:lineRule="auto"/>
        <w:jc w:val="center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="仿宋" w:hAnsi="仿宋" w:eastAsia="仿宋" w:cs="仿宋"/>
          <w:sz w:val="18"/>
          <w:szCs w:val="18"/>
          <w:lang w:eastAsia="zh-CN"/>
        </w:rPr>
        <w:t>产品使用说明书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1"/>
          <w:szCs w:val="21"/>
        </w:rPr>
      </w:pP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3.3测试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3.3.1、打开开关。</w:t>
      </w:r>
    </w:p>
    <w:p>
      <w:pPr>
        <w:spacing w:line="360" w:lineRule="auto"/>
        <w:ind w:left="210" w:leftChars="100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3.3.2、选择所需的设置参数。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3.3.3、选择所需的单位。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3.3.4、用手持或固定仪器进行测试，操作测试时，只要以测力杆拨动需要测试的物体，使之从静止状态移动到需要的位置即可，移动过程中被测物表面与作用力的方向要始终垂直。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3.3.5、测试示意图：</w:t>
      </w:r>
    </w:p>
    <w:p>
      <w:pPr>
        <w:spacing w:line="360" w:lineRule="auto"/>
        <w:rPr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drawing>
          <wp:inline distT="0" distB="0" distL="0" distR="0">
            <wp:extent cx="2800350" cy="1962785"/>
            <wp:effectExtent l="19050" t="0" r="0" b="0"/>
            <wp:docPr id="16" name="图片 15" descr="张力计测试中性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5" descr="张力计测试中性.jpg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270" cy="1962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/>
          <w:b/>
          <w:bCs/>
          <w:sz w:val="24"/>
          <w:szCs w:val="24"/>
        </w:rPr>
      </w:pPr>
    </w:p>
    <w:p>
      <w:pPr>
        <w:spacing w:line="360" w:lineRule="auto"/>
        <w:rPr>
          <w:rFonts w:hint="eastAsia"/>
          <w:b/>
          <w:bCs/>
          <w:sz w:val="24"/>
          <w:szCs w:val="24"/>
        </w:rPr>
      </w:pPr>
    </w:p>
    <w:p>
      <w:pPr>
        <w:spacing w:line="360" w:lineRule="auto"/>
        <w:rPr>
          <w:b/>
          <w:bCs/>
          <w:sz w:val="24"/>
          <w:szCs w:val="24"/>
        </w:rPr>
      </w:pPr>
      <w:r>
        <w:rPr>
          <w:rFonts w:hint="eastAsia"/>
          <w:b/>
          <w:bCs/>
          <w:sz w:val="24"/>
          <w:szCs w:val="24"/>
        </w:rPr>
        <w:t>四、保养和维修</w:t>
      </w:r>
    </w:p>
    <w:p>
      <w:pPr>
        <w:spacing w:line="360" w:lineRule="auto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4.1 日常维护、保养</w:t>
      </w:r>
    </w:p>
    <w:p>
      <w:pPr>
        <w:spacing w:line="360" w:lineRule="auto"/>
        <w:ind w:firstLine="465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4.1.1、放置干燥的环境下保存及使用。</w:t>
      </w:r>
    </w:p>
    <w:p>
      <w:pPr>
        <w:spacing w:line="360" w:lineRule="auto"/>
        <w:ind w:firstLine="465"/>
        <w:rPr>
          <w:rFonts w:hint="eastAsia" w:asciiTheme="minorEastAsia" w:hAnsiTheme="minorEastAsia" w:eastAsiaTheme="minorEastAsia" w:cstheme="minorEastAsia"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>4.1.2、切勿过载使用。</w:t>
      </w:r>
    </w:p>
    <w:p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930"/>
        </w:tabs>
        <w:rPr>
          <w:rFonts w:hint="eastAsia" w:asciiTheme="minorEastAsia" w:hAnsiTheme="minorEastAsia" w:eastAsiaTheme="minorEastAsia" w:cstheme="minorEastAsia"/>
          <w:b/>
          <w:sz w:val="21"/>
          <w:szCs w:val="21"/>
        </w:rPr>
      </w:pPr>
      <w:r>
        <w:rPr>
          <w:rFonts w:hint="eastAsia" w:asciiTheme="minorEastAsia" w:hAnsiTheme="minorEastAsia" w:eastAsiaTheme="minorEastAsia" w:cstheme="minorEastAsia"/>
          <w:sz w:val="21"/>
          <w:szCs w:val="21"/>
        </w:rPr>
        <w:t xml:space="preserve">    </w:t>
      </w:r>
      <w:r>
        <w:rPr>
          <w:rFonts w:hint="eastAsia" w:asciiTheme="minorEastAsia" w:hAnsiTheme="minorEastAsia" w:eastAsiaTheme="minorEastAsia" w:cstheme="minorEastAsia"/>
          <w:b/>
          <w:sz w:val="21"/>
          <w:szCs w:val="21"/>
        </w:rPr>
        <w:t>注意：不要使用易挥发的化学物质来清洁本机（如挥发剂、稀释剂、酒精等）</w:t>
      </w:r>
      <w:r>
        <w:rPr>
          <w:rFonts w:hint="eastAsia" w:asciiTheme="minorEastAsia" w:hAnsiTheme="minorEastAsia" w:eastAsiaTheme="minorEastAsia" w:cstheme="minorEastAsia"/>
          <w:b/>
          <w:sz w:val="21"/>
          <w:szCs w:val="21"/>
        </w:rPr>
        <w:tab/>
      </w:r>
    </w:p>
    <w:p>
      <w:pPr>
        <w:spacing w:line="360" w:lineRule="auto"/>
        <w:rPr>
          <w:rFonts w:hint="eastAsia"/>
          <w:sz w:val="24"/>
          <w:szCs w:val="24"/>
        </w:rPr>
      </w:pPr>
    </w:p>
    <w:p>
      <w:pPr>
        <w:spacing w:line="360" w:lineRule="auto"/>
        <w:rPr>
          <w:b/>
          <w:bCs/>
          <w:sz w:val="24"/>
          <w:szCs w:val="24"/>
        </w:rPr>
      </w:pP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b/>
          <w:bCs/>
          <w:sz w:val="24"/>
          <w:szCs w:val="24"/>
        </w:rPr>
        <w:t>五、附件及选配件</w:t>
      </w:r>
    </w:p>
    <w:p>
      <w:pPr>
        <w:spacing w:line="360" w:lineRule="auto"/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无</w:t>
      </w:r>
    </w:p>
    <w:sectPr>
      <w:headerReference r:id="rId3" w:type="default"/>
      <w:footerReference r:id="rId4" w:type="default"/>
      <w:pgSz w:w="11906" w:h="16838"/>
      <w:pgMar w:top="1440" w:right="1080" w:bottom="1440" w:left="1080" w:header="851" w:footer="992" w:gutter="0"/>
      <w:pgBorders>
        <w:top w:val="dotted" w:color="auto" w:sz="4" w:space="1"/>
        <w:left w:val="dotted" w:color="auto" w:sz="4" w:space="4"/>
        <w:bottom w:val="dotted" w:color="auto" w:sz="4" w:space="1"/>
        <w:right w:val="dotted" w:color="auto" w:sz="4" w:space="4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Symbol">
    <w:panose1 w:val="05050102010706020507"/>
    <w:charset w:val="00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auto"/>
    <w:pitch w:val="default"/>
    <w:sig w:usb0="E0002AFF" w:usb1="C0007843" w:usb2="00000009" w:usb3="00000000" w:csb0="400001FF" w:csb1="FFFF0000"/>
  </w:font>
  <w:font w:name="Georgia">
    <w:panose1 w:val="02040502050405090303"/>
    <w:charset w:val="00"/>
    <w:family w:val="roman"/>
    <w:pitch w:val="default"/>
    <w:sig w:usb0="00000287" w:usb1="00000000" w:usb2="00000000" w:usb3="00000000" w:csb0="2000009F" w:csb1="00000000"/>
  </w:font>
  <w:font w:name="Verdana">
    <w:panose1 w:val="020B0604030504040204"/>
    <w:charset w:val="00"/>
    <w:family w:val="swiss"/>
    <w:pitch w:val="default"/>
    <w:sig w:usb0="A10006FF" w:usb1="4000205B" w:usb2="0000001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PMingLiU">
    <w:panose1 w:val="02020500000000000000"/>
    <w:charset w:val="88"/>
    <w:family w:val="roman"/>
    <w:pitch w:val="default"/>
    <w:sig w:usb0="A00002FF" w:usb1="28CFFCFA" w:usb2="00000016" w:usb3="00000000" w:csb0="00100001" w:csb1="00000000"/>
  </w:font>
  <w:font w:name="兮妞-中黑体">
    <w:altName w:val="黑体"/>
    <w:panose1 w:val="03000509000000000000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行楷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Calibri Light">
    <w:panose1 w:val="020F0302020204030204"/>
    <w:charset w:val="00"/>
    <w:family w:val="swiss"/>
    <w:pitch w:val="default"/>
    <w:sig w:usb0="A00002EF" w:usb1="4000207B" w:usb2="00000000" w:usb3="00000000" w:csb0="2000019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20021075"/>
      <w:docPartObj>
        <w:docPartGallery w:val="autotext"/>
      </w:docPartObj>
    </w:sdtPr>
    <w:sdtContent>
      <w:p>
        <w:pPr>
          <w:pStyle w:val="4"/>
          <w:jc w:val="right"/>
        </w:pPr>
        <w:r>
          <w:rPr>
            <w:rFonts w:hint="eastAsia"/>
            <w:lang w:eastAsia="zh-CN"/>
          </w:rPr>
          <w:t>一鼎仪器</w:t>
        </w:r>
      </w:p>
    </w:sdtContent>
  </w:sdt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rPr>
        <w:rFonts w:hint="eastAsia" w:eastAsiaTheme="minorEastAsia"/>
        <w:lang w:eastAsia="zh-CN"/>
      </w:rPr>
    </w:pPr>
    <w:r>
      <w:rPr>
        <w:rFonts w:hint="eastAsia"/>
        <w:lang w:eastAsia="zh-CN"/>
      </w:rPr>
      <w:t>温州一鼎仪器制造有限公司</w:t>
    </w:r>
    <w:bookmarkStart w:id="0" w:name="_GoBack"/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 w:val="1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35738"/>
    <w:rsid w:val="00002D65"/>
    <w:rsid w:val="00025945"/>
    <w:rsid w:val="00037BBB"/>
    <w:rsid w:val="000438CE"/>
    <w:rsid w:val="00073E14"/>
    <w:rsid w:val="000A3376"/>
    <w:rsid w:val="000B58BE"/>
    <w:rsid w:val="00120978"/>
    <w:rsid w:val="00122B75"/>
    <w:rsid w:val="001440A7"/>
    <w:rsid w:val="0018171C"/>
    <w:rsid w:val="00185235"/>
    <w:rsid w:val="001A684A"/>
    <w:rsid w:val="001B3471"/>
    <w:rsid w:val="001C0B6F"/>
    <w:rsid w:val="001E1631"/>
    <w:rsid w:val="001F448A"/>
    <w:rsid w:val="00212097"/>
    <w:rsid w:val="002175F2"/>
    <w:rsid w:val="002233AC"/>
    <w:rsid w:val="002463D1"/>
    <w:rsid w:val="00252BA8"/>
    <w:rsid w:val="00254B07"/>
    <w:rsid w:val="00271963"/>
    <w:rsid w:val="00275EFB"/>
    <w:rsid w:val="0028083F"/>
    <w:rsid w:val="00284CFE"/>
    <w:rsid w:val="002945A9"/>
    <w:rsid w:val="00297AD5"/>
    <w:rsid w:val="002A6932"/>
    <w:rsid w:val="002C2CEC"/>
    <w:rsid w:val="002E15E0"/>
    <w:rsid w:val="002F6E86"/>
    <w:rsid w:val="00301311"/>
    <w:rsid w:val="003021C3"/>
    <w:rsid w:val="00322EDE"/>
    <w:rsid w:val="00330CFA"/>
    <w:rsid w:val="00330EAF"/>
    <w:rsid w:val="00343D80"/>
    <w:rsid w:val="003607E0"/>
    <w:rsid w:val="00363C3F"/>
    <w:rsid w:val="00363E24"/>
    <w:rsid w:val="003716FD"/>
    <w:rsid w:val="003A2D21"/>
    <w:rsid w:val="003E0856"/>
    <w:rsid w:val="003F67A8"/>
    <w:rsid w:val="0040419E"/>
    <w:rsid w:val="00424BCB"/>
    <w:rsid w:val="0043314A"/>
    <w:rsid w:val="0043383F"/>
    <w:rsid w:val="004513F3"/>
    <w:rsid w:val="0047628F"/>
    <w:rsid w:val="00497CA7"/>
    <w:rsid w:val="004B3E51"/>
    <w:rsid w:val="004E4719"/>
    <w:rsid w:val="00520B67"/>
    <w:rsid w:val="00522220"/>
    <w:rsid w:val="00535738"/>
    <w:rsid w:val="00543513"/>
    <w:rsid w:val="00543683"/>
    <w:rsid w:val="0056468A"/>
    <w:rsid w:val="00572BB2"/>
    <w:rsid w:val="005814DA"/>
    <w:rsid w:val="0058165D"/>
    <w:rsid w:val="00596368"/>
    <w:rsid w:val="005A286D"/>
    <w:rsid w:val="005A62F5"/>
    <w:rsid w:val="005B3DF7"/>
    <w:rsid w:val="005C7C90"/>
    <w:rsid w:val="005E7876"/>
    <w:rsid w:val="005F3D6F"/>
    <w:rsid w:val="0063684B"/>
    <w:rsid w:val="00644512"/>
    <w:rsid w:val="00655D2E"/>
    <w:rsid w:val="00661B1A"/>
    <w:rsid w:val="006A39FB"/>
    <w:rsid w:val="006A4438"/>
    <w:rsid w:val="006C2313"/>
    <w:rsid w:val="006D2A30"/>
    <w:rsid w:val="00712F26"/>
    <w:rsid w:val="00724448"/>
    <w:rsid w:val="00725DB3"/>
    <w:rsid w:val="00763468"/>
    <w:rsid w:val="0077414E"/>
    <w:rsid w:val="00793819"/>
    <w:rsid w:val="0079651B"/>
    <w:rsid w:val="007A2796"/>
    <w:rsid w:val="007A6C1E"/>
    <w:rsid w:val="007A7A59"/>
    <w:rsid w:val="007B7D38"/>
    <w:rsid w:val="007B7E14"/>
    <w:rsid w:val="007C5DC7"/>
    <w:rsid w:val="00815553"/>
    <w:rsid w:val="00820F72"/>
    <w:rsid w:val="008223AE"/>
    <w:rsid w:val="00822883"/>
    <w:rsid w:val="0082395E"/>
    <w:rsid w:val="008544E7"/>
    <w:rsid w:val="00854A95"/>
    <w:rsid w:val="00854C5C"/>
    <w:rsid w:val="0088262F"/>
    <w:rsid w:val="0089232B"/>
    <w:rsid w:val="008C4C0C"/>
    <w:rsid w:val="008D1E06"/>
    <w:rsid w:val="008D5DCD"/>
    <w:rsid w:val="008D62D6"/>
    <w:rsid w:val="008D7B13"/>
    <w:rsid w:val="008E37CD"/>
    <w:rsid w:val="008E54AB"/>
    <w:rsid w:val="00906730"/>
    <w:rsid w:val="0094455D"/>
    <w:rsid w:val="00947055"/>
    <w:rsid w:val="00966937"/>
    <w:rsid w:val="00995976"/>
    <w:rsid w:val="009A2AD4"/>
    <w:rsid w:val="009C32E7"/>
    <w:rsid w:val="009D56F8"/>
    <w:rsid w:val="009E10DC"/>
    <w:rsid w:val="009E3641"/>
    <w:rsid w:val="00A22644"/>
    <w:rsid w:val="00A33CD9"/>
    <w:rsid w:val="00A41369"/>
    <w:rsid w:val="00A441C1"/>
    <w:rsid w:val="00A67B42"/>
    <w:rsid w:val="00A77EC7"/>
    <w:rsid w:val="00AB7D97"/>
    <w:rsid w:val="00AC5FAD"/>
    <w:rsid w:val="00AE70F2"/>
    <w:rsid w:val="00B234E6"/>
    <w:rsid w:val="00B27876"/>
    <w:rsid w:val="00B338D8"/>
    <w:rsid w:val="00B47046"/>
    <w:rsid w:val="00B659FC"/>
    <w:rsid w:val="00B72D89"/>
    <w:rsid w:val="00B74F00"/>
    <w:rsid w:val="00B9301C"/>
    <w:rsid w:val="00BA1D74"/>
    <w:rsid w:val="00BB3155"/>
    <w:rsid w:val="00BC75D4"/>
    <w:rsid w:val="00BD2E77"/>
    <w:rsid w:val="00BD51F8"/>
    <w:rsid w:val="00BE7799"/>
    <w:rsid w:val="00BF2B66"/>
    <w:rsid w:val="00C0286D"/>
    <w:rsid w:val="00C209C8"/>
    <w:rsid w:val="00C3456D"/>
    <w:rsid w:val="00C45EB5"/>
    <w:rsid w:val="00C7738B"/>
    <w:rsid w:val="00C861D6"/>
    <w:rsid w:val="00C93750"/>
    <w:rsid w:val="00CB447A"/>
    <w:rsid w:val="00CB520B"/>
    <w:rsid w:val="00CD4D3A"/>
    <w:rsid w:val="00D1037B"/>
    <w:rsid w:val="00D10B5F"/>
    <w:rsid w:val="00D3508D"/>
    <w:rsid w:val="00D63134"/>
    <w:rsid w:val="00D6497C"/>
    <w:rsid w:val="00D72F73"/>
    <w:rsid w:val="00D854BC"/>
    <w:rsid w:val="00DA03C3"/>
    <w:rsid w:val="00DC0091"/>
    <w:rsid w:val="00DC0750"/>
    <w:rsid w:val="00DE0161"/>
    <w:rsid w:val="00E034F6"/>
    <w:rsid w:val="00E26823"/>
    <w:rsid w:val="00E35C64"/>
    <w:rsid w:val="00E479EC"/>
    <w:rsid w:val="00EA7661"/>
    <w:rsid w:val="00EC4D44"/>
    <w:rsid w:val="00ED54FF"/>
    <w:rsid w:val="00EF58A2"/>
    <w:rsid w:val="00F108AE"/>
    <w:rsid w:val="00F17EE5"/>
    <w:rsid w:val="00F873D9"/>
    <w:rsid w:val="00FA15A2"/>
    <w:rsid w:val="00FA24F7"/>
    <w:rsid w:val="00FA2741"/>
    <w:rsid w:val="00FA32F5"/>
    <w:rsid w:val="00FA3FA4"/>
    <w:rsid w:val="00FA44DA"/>
    <w:rsid w:val="01171A17"/>
    <w:rsid w:val="092549D3"/>
    <w:rsid w:val="1A184838"/>
    <w:rsid w:val="1DC81103"/>
    <w:rsid w:val="1F4C68F9"/>
    <w:rsid w:val="2A8D367E"/>
    <w:rsid w:val="3A606A27"/>
    <w:rsid w:val="3A7F09A5"/>
    <w:rsid w:val="564A6218"/>
    <w:rsid w:val="5D8A4CE7"/>
    <w:rsid w:val="605B5FD6"/>
    <w:rsid w:val="72CC6808"/>
    <w:rsid w:val="73221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unhideWhenUsed/>
    <w:uiPriority w:val="1"/>
  </w:style>
  <w:style w:type="table" w:default="1" w:styleId="7">
    <w:name w:val="Normal Table"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Date"/>
    <w:basedOn w:val="1"/>
    <w:next w:val="1"/>
    <w:link w:val="12"/>
    <w:unhideWhenUsed/>
    <w:qFormat/>
    <w:uiPriority w:val="99"/>
    <w:pPr>
      <w:ind w:left="100" w:leftChars="2500"/>
    </w:pPr>
  </w:style>
  <w:style w:type="paragraph" w:styleId="3">
    <w:name w:val="Balloon Text"/>
    <w:basedOn w:val="1"/>
    <w:link w:val="13"/>
    <w:unhideWhenUsed/>
    <w:qFormat/>
    <w:uiPriority w:val="99"/>
    <w:rPr>
      <w:sz w:val="18"/>
      <w:szCs w:val="18"/>
    </w:rPr>
  </w:style>
  <w:style w:type="paragraph" w:styleId="4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8">
    <w:name w:val="Table Grid"/>
    <w:basedOn w:val="7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6"/>
    <w:link w:val="5"/>
    <w:semiHidden/>
    <w:uiPriority w:val="99"/>
    <w:rPr>
      <w:sz w:val="18"/>
      <w:szCs w:val="18"/>
    </w:rPr>
  </w:style>
  <w:style w:type="character" w:customStyle="1" w:styleId="10">
    <w:name w:val="页脚 Char"/>
    <w:basedOn w:val="6"/>
    <w:link w:val="4"/>
    <w:uiPriority w:val="99"/>
    <w:rPr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日期 Char"/>
    <w:basedOn w:val="6"/>
    <w:link w:val="2"/>
    <w:semiHidden/>
    <w:qFormat/>
    <w:uiPriority w:val="99"/>
  </w:style>
  <w:style w:type="character" w:customStyle="1" w:styleId="13">
    <w:name w:val="批注框文本 Char"/>
    <w:basedOn w:val="6"/>
    <w:link w:val="3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1.jpeg"/><Relationship Id="rId18" Type="http://schemas.openxmlformats.org/officeDocument/2006/relationships/image" Target="media/image10.jpeg"/><Relationship Id="rId17" Type="http://schemas.openxmlformats.org/officeDocument/2006/relationships/image" Target="media/image9.emf"/><Relationship Id="rId16" Type="http://schemas.openxmlformats.org/officeDocument/2006/relationships/oleObject" Target="embeddings/oleObject3.bin"/><Relationship Id="rId15" Type="http://schemas.openxmlformats.org/officeDocument/2006/relationships/image" Target="media/image8.jpeg"/><Relationship Id="rId14" Type="http://schemas.openxmlformats.org/officeDocument/2006/relationships/image" Target="media/image7.emf"/><Relationship Id="rId13" Type="http://schemas.openxmlformats.org/officeDocument/2006/relationships/oleObject" Target="embeddings/oleObject2.bin"/><Relationship Id="rId12" Type="http://schemas.openxmlformats.org/officeDocument/2006/relationships/image" Target="media/image6.emf"/><Relationship Id="rId11" Type="http://schemas.openxmlformats.org/officeDocument/2006/relationships/oleObject" Target="embeddings/oleObject1.bin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  <customShpInfo spid="_x0000_s1026"/>
    <customShpInfo spid="_x0000_s1029"/>
    <customShpInfo spid="_x0000_s1028"/>
    <customShpInfo spid="_x0000_s1030"/>
    <customShpInfo spid="_x0000_s103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FiSh'S WebSite 徐晓维</Company>
  <Pages>5</Pages>
  <Words>271</Words>
  <Characters>1549</Characters>
  <Lines>12</Lines>
  <Paragraphs>3</Paragraphs>
  <ScaleCrop>false</ScaleCrop>
  <LinksUpToDate>false</LinksUpToDate>
  <CharactersWithSpaces>1817</CharactersWithSpaces>
  <Application>WPS Office_10.1.0.7022_F1E327BC-269C-435d-A152-05C5408002CA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2015-11-28T01:53:00Z</dcterms:created>
  <dc:creator>Administrator</dc:creator>
  <cp:lastModifiedBy>Administrator</cp:lastModifiedBy>
  <dcterms:modified xsi:type="dcterms:W3CDTF">2018-03-08T07:16:25Z</dcterms:modified>
  <cp:revision>592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2052-10.1.0.7022</vt:lpwstr>
  </property>
</Properties>
</file>